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54C35B13" w:rsidR="00A70556" w:rsidRDefault="00536524" w:rsidP="0034573D">
            <w:pPr>
              <w:spacing w:after="0" w:line="276" w:lineRule="auto"/>
            </w:pPr>
            <w:r>
              <w:t>E140 Agua Potable, Alcantarillado y Saneamiento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536524" w14:paraId="1D014C1E" w14:textId="77777777" w:rsidTr="009F4211">
        <w:trPr>
          <w:trHeight w:val="340"/>
        </w:trPr>
        <w:tc>
          <w:tcPr>
            <w:tcW w:w="4712" w:type="dxa"/>
            <w:gridSpan w:val="2"/>
            <w:shd w:val="clear" w:color="auto" w:fill="auto"/>
            <w:vAlign w:val="center"/>
          </w:tcPr>
          <w:p w14:paraId="404D8B68" w14:textId="405C544B" w:rsidR="00B861E0" w:rsidRPr="00536524" w:rsidRDefault="00536524" w:rsidP="00A123E6">
            <w:pPr>
              <w:spacing w:after="0" w:line="276" w:lineRule="auto"/>
              <w:jc w:val="center"/>
              <w:rPr>
                <w:bCs/>
              </w:rPr>
            </w:pPr>
            <w:r w:rsidRPr="00536524">
              <w:rPr>
                <w:bCs/>
              </w:rPr>
              <w:t>01/01/2024</w:t>
            </w:r>
          </w:p>
        </w:tc>
        <w:tc>
          <w:tcPr>
            <w:tcW w:w="5206" w:type="dxa"/>
            <w:gridSpan w:val="2"/>
            <w:shd w:val="clear" w:color="auto" w:fill="auto"/>
            <w:vAlign w:val="center"/>
          </w:tcPr>
          <w:p w14:paraId="79E9E4F4" w14:textId="6A947789" w:rsidR="00B861E0" w:rsidRPr="00536524" w:rsidRDefault="00536524" w:rsidP="00A123E6">
            <w:pPr>
              <w:spacing w:after="0" w:line="276" w:lineRule="auto"/>
              <w:jc w:val="center"/>
              <w:rPr>
                <w:bCs/>
              </w:rPr>
            </w:pPr>
            <w:r w:rsidRPr="00536524">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bookmarkStart w:id="0" w:name="_GoBack"/>
            <w:bookmarkEnd w:id="0"/>
          </w:p>
        </w:tc>
      </w:tr>
      <w:tr w:rsidR="009F4211" w:rsidRPr="00536524" w14:paraId="37454C6A" w14:textId="77777777" w:rsidTr="00E06043">
        <w:trPr>
          <w:trHeight w:val="340"/>
        </w:trPr>
        <w:tc>
          <w:tcPr>
            <w:tcW w:w="9918" w:type="dxa"/>
            <w:gridSpan w:val="4"/>
            <w:shd w:val="clear" w:color="auto" w:fill="auto"/>
          </w:tcPr>
          <w:p w14:paraId="78C4F704" w14:textId="475D9A95" w:rsidR="009F4211" w:rsidRPr="00536524" w:rsidRDefault="00536524" w:rsidP="009F4211">
            <w:pPr>
              <w:pStyle w:val="Prrafodelista"/>
              <w:spacing w:after="0" w:line="276" w:lineRule="auto"/>
              <w:ind w:left="37"/>
              <w:jc w:val="both"/>
              <w:rPr>
                <w:bCs/>
              </w:rPr>
            </w:pPr>
            <w:r w:rsidRPr="00536524">
              <w:rPr>
                <w:bCs/>
              </w:rPr>
              <w:t>Ing. Irene Margarita Rodríguez Juárez, Jefa de Proyectos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93B1A9E" w:rsidR="00B920F2" w:rsidRDefault="00536524" w:rsidP="00521401">
      <w:pPr>
        <w:pStyle w:val="Prrafodelista"/>
        <w:spacing w:after="0" w:line="276" w:lineRule="auto"/>
        <w:ind w:left="142"/>
        <w:jc w:val="both"/>
      </w:pPr>
      <w:r w:rsidRPr="00CA04EA">
        <w:rPr>
          <w:lang w:val="es-ES"/>
        </w:rPr>
        <w:t>Contar con u</w:t>
      </w:r>
      <w:r>
        <w:rPr>
          <w:lang w:val="es-ES"/>
        </w:rPr>
        <w:t xml:space="preserve">na valoración del desempeño </w:t>
      </w:r>
      <w:r w:rsidRPr="001000EC">
        <w:rPr>
          <w:lang w:val="es-ES"/>
        </w:rPr>
        <w:t xml:space="preserve">de </w:t>
      </w:r>
      <w:r w:rsidRPr="001000EC">
        <w:t>E140 Agua Potable, Alcantarillado y Saneamiento,</w:t>
      </w:r>
      <w:r w:rsidRPr="001000EC">
        <w:rPr>
          <w:lang w:val="es-ES"/>
        </w:rPr>
        <w:t xml:space="preserve"> en</w:t>
      </w:r>
      <w:r w:rsidRPr="00CA04EA">
        <w:rPr>
          <w:lang w:val="es-ES"/>
        </w:rPr>
        <w:t xml:space="preserve"> su ejercicio </w:t>
      </w:r>
      <w:r w:rsidRPr="001000EC">
        <w:rPr>
          <w:lang w:val="es-ES"/>
        </w:rPr>
        <w:t>fiscal 2022,</w:t>
      </w:r>
      <w:r w:rsidRPr="00CA04EA">
        <w:rPr>
          <w:lang w:val="es-ES"/>
        </w:rPr>
        <w:t xml:space="preserve">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C76A687" w14:textId="77777777" w:rsidR="00536524" w:rsidRPr="00CA04EA" w:rsidRDefault="00536524" w:rsidP="00536524">
      <w:pPr>
        <w:pStyle w:val="Prrafodelista"/>
        <w:numPr>
          <w:ilvl w:val="0"/>
          <w:numId w:val="2"/>
        </w:numPr>
        <w:spacing w:after="0" w:line="240" w:lineRule="auto"/>
        <w:jc w:val="both"/>
        <w:rPr>
          <w:lang w:val="es-ES"/>
        </w:rPr>
      </w:pPr>
      <w:r w:rsidRPr="00CA04EA">
        <w:rPr>
          <w:lang w:val="es-ES"/>
        </w:rPr>
        <w:t xml:space="preserve">Reportar los resultados y productos de los programas evaluados durante el ejercicio fiscal </w:t>
      </w:r>
      <w:r>
        <w:rPr>
          <w:lang w:val="es-ES"/>
        </w:rPr>
        <w:t>2022</w:t>
      </w:r>
      <w:r w:rsidRPr="00CA04EA">
        <w:rPr>
          <w:lang w:val="es-ES"/>
        </w:rPr>
        <w:t xml:space="preserve"> y enlistados en el Anexo II, mediante el análisis de los indicadores de resultados, de los indicadores de servicios y gestión, así como de los hallazgos relevantes derivados de evaluaciones previas (en caso de aplicar) y otros documentos del programa</w:t>
      </w:r>
      <w:r>
        <w:rPr>
          <w:lang w:val="es-ES"/>
        </w:rPr>
        <w:t>;</w:t>
      </w:r>
    </w:p>
    <w:p w14:paraId="5EDF5C96" w14:textId="77777777" w:rsidR="00536524" w:rsidRPr="00CA04EA" w:rsidRDefault="00536524" w:rsidP="00536524">
      <w:pPr>
        <w:pStyle w:val="Prrafodelista"/>
        <w:numPr>
          <w:ilvl w:val="0"/>
          <w:numId w:val="2"/>
        </w:numPr>
        <w:spacing w:after="0" w:line="240" w:lineRule="auto"/>
        <w:jc w:val="both"/>
        <w:rPr>
          <w:lang w:val="es-ES"/>
        </w:rPr>
      </w:pPr>
      <w:r w:rsidRPr="00CA04EA">
        <w:rPr>
          <w:lang w:val="es-ES"/>
        </w:rPr>
        <w:t xml:space="preserve">Analizar el avance de las metas de los indicadores de la Matriz de Indicadores para Resultados (MIR) en el ejercicio fiscal </w:t>
      </w:r>
      <w:r>
        <w:rPr>
          <w:lang w:val="es-ES"/>
        </w:rPr>
        <w:t xml:space="preserve">2022, </w:t>
      </w:r>
      <w:r w:rsidRPr="00CA04EA">
        <w:rPr>
          <w:lang w:val="es-ES"/>
        </w:rPr>
        <w:t>respecto de años anteriores y el avance en relación con las metas establecidas</w:t>
      </w:r>
      <w:r>
        <w:rPr>
          <w:lang w:val="es-ES"/>
        </w:rPr>
        <w:t>;</w:t>
      </w:r>
    </w:p>
    <w:p w14:paraId="39EFD4A3" w14:textId="77777777" w:rsidR="00536524" w:rsidRPr="00CA04EA" w:rsidRDefault="00536524" w:rsidP="00536524">
      <w:pPr>
        <w:pStyle w:val="Prrafodelista"/>
        <w:numPr>
          <w:ilvl w:val="0"/>
          <w:numId w:val="2"/>
        </w:numPr>
        <w:spacing w:after="0" w:line="240" w:lineRule="auto"/>
        <w:jc w:val="both"/>
        <w:rPr>
          <w:lang w:val="es-ES"/>
        </w:rPr>
      </w:pPr>
      <w:r w:rsidRPr="00CA04EA">
        <w:rPr>
          <w:lang w:val="es-ES"/>
        </w:rPr>
        <w:t>Identificar los principales aspectos susceptibles de mejora del programa</w:t>
      </w:r>
      <w:r>
        <w:rPr>
          <w:lang w:val="es-ES"/>
        </w:rPr>
        <w:t>;</w:t>
      </w:r>
    </w:p>
    <w:p w14:paraId="40BD4B81" w14:textId="77777777" w:rsidR="00536524" w:rsidRPr="00CA04EA" w:rsidRDefault="00536524" w:rsidP="00536524">
      <w:pPr>
        <w:pStyle w:val="Prrafodelista"/>
        <w:numPr>
          <w:ilvl w:val="0"/>
          <w:numId w:val="2"/>
        </w:numPr>
        <w:spacing w:after="0" w:line="240" w:lineRule="auto"/>
        <w:jc w:val="both"/>
        <w:rPr>
          <w:lang w:val="es-ES"/>
        </w:rPr>
      </w:pPr>
      <w:r w:rsidRPr="00CA04EA">
        <w:rPr>
          <w:lang w:val="es-ES"/>
        </w:rPr>
        <w:t>Analizar la evolución de la cobertura y el presupuesto del programa</w:t>
      </w:r>
      <w:r>
        <w:rPr>
          <w:lang w:val="es-ES"/>
        </w:rPr>
        <w:t>;</w:t>
      </w:r>
    </w:p>
    <w:p w14:paraId="390668FC" w14:textId="77777777" w:rsidR="00536524" w:rsidRPr="00CA04EA" w:rsidRDefault="00536524" w:rsidP="00536524">
      <w:pPr>
        <w:pStyle w:val="Prrafodelista"/>
        <w:numPr>
          <w:ilvl w:val="0"/>
          <w:numId w:val="2"/>
        </w:numPr>
        <w:spacing w:after="0" w:line="240" w:lineRule="auto"/>
        <w:jc w:val="both"/>
        <w:rPr>
          <w:lang w:val="es-ES"/>
        </w:rPr>
      </w:pPr>
      <w:r w:rsidRPr="00CA04EA">
        <w:rPr>
          <w:lang w:val="es-ES"/>
        </w:rPr>
        <w:t>Identificar las fortalezas, los retos y las recomendaciones del programa</w:t>
      </w:r>
      <w:r>
        <w:rPr>
          <w:lang w:val="es-ES"/>
        </w:rPr>
        <w:t>;</w:t>
      </w:r>
    </w:p>
    <w:p w14:paraId="2CCD5C65" w14:textId="45F64C36" w:rsidR="009B7088" w:rsidRDefault="00536524" w:rsidP="00536524">
      <w:pPr>
        <w:pStyle w:val="Prrafodelista"/>
        <w:numPr>
          <w:ilvl w:val="0"/>
          <w:numId w:val="2"/>
        </w:numPr>
        <w:spacing w:after="0" w:line="240" w:lineRule="auto"/>
        <w:jc w:val="both"/>
      </w:pPr>
      <w:r w:rsidRPr="00CA04EA">
        <w:rPr>
          <w:lang w:val="es-ES"/>
        </w:rP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722253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A9408B">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459E0883" w:rsidR="00581B4A" w:rsidRPr="00581B4A" w:rsidRDefault="00EC7832" w:rsidP="00A9408B">
            <w:pPr>
              <w:spacing w:after="0" w:line="276" w:lineRule="auto"/>
              <w:jc w:val="center"/>
              <w:rPr>
                <w:b/>
                <w:bCs/>
              </w:rPr>
            </w:pPr>
            <w:r>
              <w:t>d</w:t>
            </w:r>
            <w:r w:rsidR="0034573D">
              <w:t xml:space="preserve">e </w:t>
            </w:r>
            <w:r w:rsidR="00A9408B">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1CAEE85E" w14:textId="77777777" w:rsidR="00536524" w:rsidRDefault="00536524" w:rsidP="00536524">
      <w:pPr>
        <w:ind w:left="142"/>
        <w:jc w:val="both"/>
        <w:rPr>
          <w:lang w:eastAsia="es-MX"/>
        </w:rPr>
      </w:pPr>
      <w:r w:rsidRPr="005952E4">
        <w:rPr>
          <w:lang w:eastAsia="es-MX"/>
        </w:rPr>
        <w:t xml:space="preserve">El programa busca fortalecer la gestión integrada y sustentable del agua, garantizando su acceso a la población, así como fortalecer el abastecimiento de agua y acceso a servicios de agua potable, alcantarillado y saneamiento, y con ello robustecer las acciones por su naturaleza benefician a los habitantes de cada localidad con un enfoque de equidad incluyendo a todos los habitantes con independencia de su condición social, edad, religión, origen étnico, discapacidad, preferencia sexual, género, filiación política o cualquier otra. </w:t>
      </w:r>
    </w:p>
    <w:p w14:paraId="4D0C0960" w14:textId="547EF108" w:rsidR="00536524" w:rsidRDefault="00536524" w:rsidP="00536524">
      <w:pPr>
        <w:ind w:left="142"/>
        <w:jc w:val="both"/>
        <w:rPr>
          <w:lang w:eastAsia="es-MX"/>
        </w:rPr>
      </w:pPr>
      <w:r w:rsidRPr="005952E4">
        <w:rPr>
          <w:lang w:eastAsia="es-MX"/>
        </w:rPr>
        <w:t>El objetivo es apoyar a los gobiernos municipales para que, a través de los organismos operadores, fortalezca y desarrolle el acceso a los servicios de agua potable, alcantarillado y saneamiento, en beneficio de la población.</w:t>
      </w:r>
    </w:p>
    <w:p w14:paraId="1E432E91" w14:textId="77777777" w:rsidR="00536524" w:rsidRDefault="00536524" w:rsidP="00536524">
      <w:pPr>
        <w:ind w:left="142"/>
        <w:jc w:val="both"/>
      </w:pPr>
      <w:r>
        <w:t xml:space="preserve">El programa busca fortalecer la gestión integrada y sustentable del agua, garantizando su acceso a la población, así como fortalecer el abastecimiento de agua y acceso a servicios de agua potable, alcantarillado y saneamiento, y con ello robustecer las acciones por su naturaleza benefician a los habitantes de cada localidad con un enfoque de equidad incluyendo a todos los habitantes con independencia de su condición social, edad, religión, origen étnico, discapacidad, preferencia sexual, género, filiación política o cualquier otra. </w:t>
      </w:r>
    </w:p>
    <w:p w14:paraId="2A506F0B" w14:textId="0FC0A261" w:rsidR="00536524" w:rsidRPr="002F6A18" w:rsidRDefault="00536524" w:rsidP="00536524">
      <w:pPr>
        <w:ind w:left="142"/>
        <w:jc w:val="both"/>
      </w:pPr>
      <w:r>
        <w:t>El objetivo es apoyar a los gobiernos municipales para que, a través de los organismos operadores, fortalezca y desarrolle el acceso a los servicios de agua potable, alcantarillado y saneamiento, en beneficio de la población.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536524">
      <w:pPr>
        <w:pStyle w:val="Prrafodelista"/>
        <w:numPr>
          <w:ilvl w:val="2"/>
          <w:numId w:val="5"/>
        </w:numPr>
        <w:spacing w:after="0" w:line="276" w:lineRule="auto"/>
        <w:ind w:left="993" w:hanging="567"/>
        <w:jc w:val="both"/>
        <w:rPr>
          <w:b/>
          <w:bCs/>
        </w:rPr>
      </w:pPr>
      <w:r>
        <w:rPr>
          <w:b/>
          <w:bCs/>
        </w:rPr>
        <w:t>Fortalezas</w:t>
      </w:r>
    </w:p>
    <w:p w14:paraId="35EC7042" w14:textId="77777777" w:rsidR="00536524" w:rsidRDefault="00536524" w:rsidP="00536524">
      <w:pPr>
        <w:pStyle w:val="Prrafodelista"/>
        <w:numPr>
          <w:ilvl w:val="0"/>
          <w:numId w:val="8"/>
        </w:numPr>
        <w:spacing w:line="276" w:lineRule="auto"/>
        <w:jc w:val="both"/>
      </w:pPr>
      <w:r>
        <w:t>Existencia de la Ley Estatal del Agua Potable y Alcantarillado de Sinaloa, que otorga sustentabilidad para gestionar y programar recursos en apoyo a los organismos operadores de agua potable en el Estado.</w:t>
      </w:r>
    </w:p>
    <w:p w14:paraId="4A9B5743" w14:textId="77777777" w:rsidR="00536524" w:rsidRDefault="00536524" w:rsidP="00536524">
      <w:pPr>
        <w:pStyle w:val="Prrafodelista"/>
        <w:numPr>
          <w:ilvl w:val="0"/>
          <w:numId w:val="8"/>
        </w:numPr>
        <w:spacing w:line="276" w:lineRule="auto"/>
        <w:jc w:val="both"/>
      </w:pPr>
      <w:r>
        <w:t>Personal técnico comprometido con el tema de agua y su importancia</w:t>
      </w:r>
    </w:p>
    <w:p w14:paraId="446F8386" w14:textId="77777777" w:rsidR="00536524" w:rsidRDefault="00536524" w:rsidP="00536524">
      <w:pPr>
        <w:pStyle w:val="Prrafodelista"/>
        <w:numPr>
          <w:ilvl w:val="0"/>
          <w:numId w:val="8"/>
        </w:numPr>
        <w:spacing w:line="276" w:lineRule="auto"/>
        <w:jc w:val="both"/>
      </w:pPr>
      <w:r>
        <w:t>Adecuada gestión de recursos para obras de agua potable drenaje y tratamiento de aguas residuales.</w:t>
      </w:r>
    </w:p>
    <w:p w14:paraId="0983D7BA" w14:textId="051591E3" w:rsidR="00B72B03" w:rsidRPr="00B72B03" w:rsidRDefault="00536524" w:rsidP="00536524">
      <w:pPr>
        <w:pStyle w:val="Prrafodelista"/>
        <w:numPr>
          <w:ilvl w:val="0"/>
          <w:numId w:val="8"/>
        </w:numPr>
        <w:spacing w:line="276" w:lineRule="auto"/>
        <w:jc w:val="both"/>
      </w:pPr>
      <w:r>
        <w:t>El trabajo interinstitucional con dependencias estatales y federales, permite una vinculación.</w:t>
      </w:r>
    </w:p>
    <w:p w14:paraId="3A39C1FA" w14:textId="72695A5D" w:rsidR="003E1018" w:rsidRPr="00975299" w:rsidRDefault="003E1018" w:rsidP="00536524">
      <w:pPr>
        <w:pStyle w:val="Prrafodelista"/>
        <w:numPr>
          <w:ilvl w:val="2"/>
          <w:numId w:val="5"/>
        </w:numPr>
        <w:spacing w:after="0" w:line="276" w:lineRule="auto"/>
        <w:ind w:left="993" w:hanging="567"/>
        <w:jc w:val="both"/>
        <w:rPr>
          <w:b/>
          <w:bCs/>
        </w:rPr>
      </w:pPr>
      <w:r w:rsidRPr="00975299">
        <w:rPr>
          <w:b/>
          <w:bCs/>
        </w:rPr>
        <w:t xml:space="preserve">Oportunidades: </w:t>
      </w:r>
    </w:p>
    <w:p w14:paraId="5C90BD94" w14:textId="77777777" w:rsidR="00536524" w:rsidRDefault="00536524" w:rsidP="00536524">
      <w:pPr>
        <w:pStyle w:val="Prrafodelista"/>
        <w:numPr>
          <w:ilvl w:val="0"/>
          <w:numId w:val="8"/>
        </w:numPr>
        <w:spacing w:line="276" w:lineRule="auto"/>
        <w:jc w:val="both"/>
      </w:pPr>
      <w:r>
        <w:t>Mejora en los indicadores de marginación.</w:t>
      </w:r>
    </w:p>
    <w:p w14:paraId="37C5B819" w14:textId="77777777" w:rsidR="00536524" w:rsidRDefault="00536524" w:rsidP="00536524">
      <w:pPr>
        <w:pStyle w:val="Prrafodelista"/>
        <w:numPr>
          <w:ilvl w:val="0"/>
          <w:numId w:val="8"/>
        </w:numPr>
        <w:spacing w:line="276" w:lineRule="auto"/>
        <w:jc w:val="both"/>
      </w:pPr>
      <w:r>
        <w:t>Sistemas de agua potable, alcantarillado y saneamiento existentes con mantenimientos oportunos.</w:t>
      </w:r>
    </w:p>
    <w:p w14:paraId="37346F0C" w14:textId="77777777" w:rsidR="00536524" w:rsidRDefault="00536524" w:rsidP="00536524">
      <w:pPr>
        <w:pStyle w:val="Prrafodelista"/>
        <w:numPr>
          <w:ilvl w:val="0"/>
          <w:numId w:val="8"/>
        </w:numPr>
        <w:spacing w:line="276" w:lineRule="auto"/>
        <w:jc w:val="both"/>
      </w:pPr>
      <w:r>
        <w:t>Acceso a programas federalizados de apoyo tanto a las obras de infraestructura para agua potable, drenaje y tratamiento, así como para el mejoramiento de eficiencia.</w:t>
      </w:r>
    </w:p>
    <w:p w14:paraId="719502A3" w14:textId="77777777" w:rsidR="00536524" w:rsidRDefault="00536524" w:rsidP="00536524">
      <w:pPr>
        <w:pStyle w:val="Prrafodelista"/>
        <w:numPr>
          <w:ilvl w:val="0"/>
          <w:numId w:val="8"/>
        </w:numPr>
        <w:spacing w:line="276" w:lineRule="auto"/>
        <w:jc w:val="both"/>
      </w:pPr>
      <w:r>
        <w:t>La relación con la federación, facilita y abre la puerta a un diálogo y apoyo constante para el cumplimiento puntual en el quehacer cotidiano del organismo en materia de obras de infraestructura para agua potable, drenaje y tratamiento.</w:t>
      </w:r>
    </w:p>
    <w:p w14:paraId="7C931AE7" w14:textId="77777777" w:rsidR="00536524" w:rsidRDefault="00536524" w:rsidP="00536524">
      <w:pPr>
        <w:pStyle w:val="Prrafodelista"/>
        <w:numPr>
          <w:ilvl w:val="0"/>
          <w:numId w:val="8"/>
        </w:numPr>
        <w:spacing w:line="276" w:lineRule="auto"/>
        <w:jc w:val="both"/>
      </w:pPr>
      <w:r>
        <w:t>Dotar de sistemas de agua a localidades que carecen del vital líquido.</w:t>
      </w:r>
    </w:p>
    <w:p w14:paraId="545FCF04" w14:textId="327BFB24" w:rsidR="00B72B03" w:rsidRPr="00B72B03" w:rsidRDefault="00536524" w:rsidP="00536524">
      <w:pPr>
        <w:pStyle w:val="Prrafodelista"/>
        <w:numPr>
          <w:ilvl w:val="0"/>
          <w:numId w:val="8"/>
        </w:numPr>
        <w:spacing w:line="276" w:lineRule="auto"/>
        <w:jc w:val="both"/>
      </w:pPr>
      <w:r>
        <w:t>Ayudar a los organismos operadores para la construcción de sistemas de alcantarillado sanitario.</w:t>
      </w:r>
    </w:p>
    <w:p w14:paraId="149AAB4C" w14:textId="77777777" w:rsidR="00536524" w:rsidRDefault="00536524">
      <w:pPr>
        <w:spacing w:after="0" w:line="240" w:lineRule="auto"/>
        <w:rPr>
          <w:b/>
          <w:bCs/>
        </w:rPr>
      </w:pPr>
      <w:r>
        <w:rPr>
          <w:b/>
          <w:bCs/>
        </w:rPr>
        <w:br w:type="page"/>
      </w:r>
    </w:p>
    <w:p w14:paraId="5B3242D7" w14:textId="71278809" w:rsidR="003E1018" w:rsidRPr="003E1018" w:rsidRDefault="003E1018" w:rsidP="00536524">
      <w:pPr>
        <w:pStyle w:val="Prrafodelista"/>
        <w:numPr>
          <w:ilvl w:val="2"/>
          <w:numId w:val="5"/>
        </w:numPr>
        <w:spacing w:after="0" w:line="276" w:lineRule="auto"/>
        <w:ind w:left="993" w:hanging="567"/>
        <w:jc w:val="both"/>
        <w:rPr>
          <w:b/>
          <w:bCs/>
        </w:rPr>
      </w:pPr>
      <w:r w:rsidRPr="003E1018">
        <w:rPr>
          <w:b/>
          <w:bCs/>
        </w:rPr>
        <w:lastRenderedPageBreak/>
        <w:t>Debilidades:</w:t>
      </w:r>
    </w:p>
    <w:p w14:paraId="1B05FD74" w14:textId="77777777" w:rsidR="00536524" w:rsidRDefault="00536524" w:rsidP="00536524">
      <w:pPr>
        <w:pStyle w:val="Prrafodelista"/>
        <w:numPr>
          <w:ilvl w:val="0"/>
          <w:numId w:val="8"/>
        </w:numPr>
        <w:spacing w:line="276" w:lineRule="auto"/>
        <w:jc w:val="both"/>
      </w:pPr>
      <w:r>
        <w:t>Reducida cartera de proyectos validados por la CONAGUA para acceder a los recursos federales.</w:t>
      </w:r>
    </w:p>
    <w:p w14:paraId="47C2EBBE" w14:textId="4FD8FCE4" w:rsidR="00A165BB" w:rsidRPr="00A165BB" w:rsidRDefault="00536524" w:rsidP="00536524">
      <w:pPr>
        <w:pStyle w:val="Prrafodelista"/>
        <w:numPr>
          <w:ilvl w:val="0"/>
          <w:numId w:val="8"/>
        </w:numPr>
        <w:spacing w:line="276" w:lineRule="auto"/>
        <w:jc w:val="both"/>
      </w:pPr>
      <w:r>
        <w:t>Recursos insuficientes para llevar un control de las coberturas de agua potable, alcantarillado y saneamiento en el estado.</w:t>
      </w:r>
    </w:p>
    <w:p w14:paraId="22DADFD3" w14:textId="3FF56475" w:rsidR="003E1018" w:rsidRPr="003E1018" w:rsidRDefault="003E1018" w:rsidP="00536524">
      <w:pPr>
        <w:pStyle w:val="Prrafodelista"/>
        <w:numPr>
          <w:ilvl w:val="2"/>
          <w:numId w:val="5"/>
        </w:numPr>
        <w:spacing w:after="0" w:line="276" w:lineRule="auto"/>
        <w:ind w:left="993" w:hanging="567"/>
        <w:jc w:val="both"/>
        <w:rPr>
          <w:b/>
          <w:bCs/>
        </w:rPr>
      </w:pPr>
      <w:r w:rsidRPr="003E1018">
        <w:rPr>
          <w:b/>
          <w:bCs/>
        </w:rPr>
        <w:t>Amenazas:</w:t>
      </w:r>
    </w:p>
    <w:p w14:paraId="14235B69" w14:textId="77777777" w:rsidR="00536524" w:rsidRDefault="00536524" w:rsidP="00536524">
      <w:pPr>
        <w:pStyle w:val="Prrafodelista"/>
        <w:numPr>
          <w:ilvl w:val="0"/>
          <w:numId w:val="8"/>
        </w:numPr>
        <w:spacing w:line="276" w:lineRule="auto"/>
        <w:jc w:val="both"/>
      </w:pPr>
      <w:r>
        <w:t>Falta de inversiones para cumplir satisfactoriamente con la obligación de proporcionar agua potable, drenaje y tratamiento a los sinaloenses.</w:t>
      </w:r>
    </w:p>
    <w:p w14:paraId="2B7693E7" w14:textId="77777777" w:rsidR="00536524" w:rsidRDefault="00536524" w:rsidP="00536524">
      <w:pPr>
        <w:pStyle w:val="Prrafodelista"/>
        <w:numPr>
          <w:ilvl w:val="0"/>
          <w:numId w:val="8"/>
        </w:numPr>
        <w:spacing w:line="276" w:lineRule="auto"/>
        <w:jc w:val="both"/>
      </w:pPr>
      <w:r>
        <w:t>Vida útil de los sistemas de agua potable, alcantarillado y saneamiento rebasada.</w:t>
      </w:r>
    </w:p>
    <w:p w14:paraId="7F14C6B4" w14:textId="77777777" w:rsidR="00536524" w:rsidRDefault="00536524" w:rsidP="00536524">
      <w:pPr>
        <w:pStyle w:val="Prrafodelista"/>
        <w:numPr>
          <w:ilvl w:val="0"/>
          <w:numId w:val="8"/>
        </w:numPr>
        <w:spacing w:line="276" w:lineRule="auto"/>
        <w:jc w:val="both"/>
      </w:pPr>
      <w:r>
        <w:t>Riesgo de disminución en la disponibilidad de agua.</w:t>
      </w:r>
    </w:p>
    <w:p w14:paraId="5B17D3A9" w14:textId="77777777" w:rsidR="00536524" w:rsidRDefault="00536524" w:rsidP="00536524">
      <w:pPr>
        <w:pStyle w:val="Prrafodelista"/>
        <w:numPr>
          <w:ilvl w:val="0"/>
          <w:numId w:val="8"/>
        </w:numPr>
        <w:spacing w:line="276" w:lineRule="auto"/>
        <w:jc w:val="both"/>
      </w:pPr>
      <w:r>
        <w:t>Incremento de los fenómenos meteorológicos como el aumento de las sequías en distintas regiones.</w:t>
      </w:r>
    </w:p>
    <w:p w14:paraId="1329A6EC" w14:textId="3C1FE65E" w:rsidR="00A165BB" w:rsidRPr="00C00FBC" w:rsidRDefault="00536524" w:rsidP="00536524">
      <w:pPr>
        <w:pStyle w:val="Prrafodelista"/>
        <w:numPr>
          <w:ilvl w:val="0"/>
          <w:numId w:val="8"/>
        </w:numPr>
        <w:spacing w:line="276" w:lineRule="auto"/>
        <w:jc w:val="both"/>
      </w:pPr>
      <w:r>
        <w:t>Lluvias torrenciales.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C15C3BC" w14:textId="77777777" w:rsidR="00536524" w:rsidRPr="00536524" w:rsidRDefault="00536524" w:rsidP="00536524">
      <w:pPr>
        <w:spacing w:after="0" w:line="276" w:lineRule="auto"/>
        <w:ind w:left="284"/>
        <w:jc w:val="both"/>
        <w:rPr>
          <w:lang w:val="es-ES"/>
        </w:rPr>
      </w:pPr>
      <w:r w:rsidRPr="00536524">
        <w:rPr>
          <w:lang w:val="es-ES"/>
        </w:rPr>
        <w:t>En términos generales, se puede afirmar que los resultados de los indicadores de resultados y de servicios y gestión solamente 6 de ellos se ha obtenido un porcentaje de cumplimiento entre un 99.8% al 100%, los demás restantes (6 indicadores) se han obtenido un 0%, por lo que no se ha cumplido con las metas establecidas para cada indicador.</w:t>
      </w:r>
    </w:p>
    <w:p w14:paraId="31F36EB1" w14:textId="6D9847F0" w:rsidR="00113BCD" w:rsidRDefault="00536524" w:rsidP="00536524">
      <w:pPr>
        <w:spacing w:after="0" w:line="276" w:lineRule="auto"/>
        <w:ind w:left="284"/>
        <w:jc w:val="both"/>
        <w:rPr>
          <w:lang w:val="es-ES"/>
        </w:rPr>
      </w:pPr>
      <w:r w:rsidRPr="00536524">
        <w:rPr>
          <w:lang w:val="es-ES"/>
        </w:rPr>
        <w:t>De tal modo, que es necesario revisar la MIR de manera general para establecer criterios y métodos que permitan definir metas de acuerdo con los parámetros vigentes, es decir que no sean muy laxas ni tampoco muy ambiciosas. Por lo anterior, se recomienda consultar la Guía para el Diseño de Indicadores Estratégicos y la Guía para el Diseño de la Matriz de Indicadores para Resultados, ambas guías de la Secretaría de Hacienda y Crédito Público (SHCP) publicadas en el sitio de EVALÚASIN (https://evalua.sinaloa.gob.mx/biblioteca.aspx).</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065D31C" w14:textId="77777777" w:rsidR="00536524" w:rsidRDefault="00536524" w:rsidP="00536524">
      <w:pPr>
        <w:pStyle w:val="Prrafodelista"/>
        <w:numPr>
          <w:ilvl w:val="0"/>
          <w:numId w:val="2"/>
        </w:numPr>
        <w:spacing w:after="0" w:line="240" w:lineRule="auto"/>
        <w:jc w:val="both"/>
      </w:pPr>
      <w:r>
        <w:t>Revisar y actualizar la MIR de manera general.</w:t>
      </w:r>
    </w:p>
    <w:p w14:paraId="2D6088C1" w14:textId="77777777" w:rsidR="00536524" w:rsidRDefault="00536524" w:rsidP="00536524">
      <w:pPr>
        <w:pStyle w:val="Prrafodelista"/>
        <w:numPr>
          <w:ilvl w:val="0"/>
          <w:numId w:val="2"/>
        </w:numPr>
        <w:spacing w:after="0" w:line="240" w:lineRule="auto"/>
        <w:jc w:val="both"/>
      </w:pPr>
      <w:r>
        <w:t>Establecer criterios y métodos para definir las metas de los indicadores de acuerdo con parámetros vigentes.</w:t>
      </w:r>
    </w:p>
    <w:p w14:paraId="6B6B14B3" w14:textId="77777777" w:rsidR="00536524" w:rsidRDefault="00536524" w:rsidP="00536524">
      <w:pPr>
        <w:pStyle w:val="Prrafodelista"/>
        <w:numPr>
          <w:ilvl w:val="0"/>
          <w:numId w:val="2"/>
        </w:numPr>
        <w:spacing w:after="0" w:line="240" w:lineRule="auto"/>
        <w:jc w:val="both"/>
      </w:pPr>
      <w:r>
        <w:t>Continuar con mantenimientos oportunos en los sistemas de agua potable, alcantarillado y saneamiento.</w:t>
      </w:r>
    </w:p>
    <w:p w14:paraId="060606E6" w14:textId="77777777" w:rsidR="00536524" w:rsidRDefault="00536524" w:rsidP="00536524">
      <w:pPr>
        <w:pStyle w:val="Prrafodelista"/>
        <w:numPr>
          <w:ilvl w:val="0"/>
          <w:numId w:val="2"/>
        </w:numPr>
        <w:spacing w:after="0" w:line="240" w:lineRule="auto"/>
        <w:jc w:val="both"/>
      </w:pPr>
      <w:r>
        <w:t>Concientizar a la población en general en temas respecto a la disponibilidad de agua por efectos de las sequias.</w:t>
      </w:r>
    </w:p>
    <w:p w14:paraId="29B4703B" w14:textId="30436060" w:rsidR="006E67EA" w:rsidRPr="006E67EA" w:rsidRDefault="00536524" w:rsidP="00536524">
      <w:pPr>
        <w:pStyle w:val="Prrafodelista"/>
        <w:numPr>
          <w:ilvl w:val="0"/>
          <w:numId w:val="2"/>
        </w:numPr>
        <w:spacing w:after="0" w:line="240" w:lineRule="auto"/>
        <w:jc w:val="both"/>
      </w:pPr>
      <w:r>
        <w:t>Realizar acciones para dotar de sistemas de agua a localidades que carecen del vital líquido.</w:t>
      </w:r>
    </w:p>
    <w:p w14:paraId="6875A774" w14:textId="1C63653C" w:rsidR="009500D0" w:rsidRDefault="009500D0">
      <w:pPr>
        <w:spacing w:after="0" w:line="240" w:lineRule="auto"/>
        <w:rPr>
          <w:b/>
          <w:bCs/>
          <w:color w:val="FFFFFF" w:themeColor="background1"/>
        </w:rPr>
      </w:pPr>
      <w:r>
        <w:rPr>
          <w:b/>
          <w:bCs/>
          <w:color w:val="FFFFFF" w:themeColor="background1"/>
        </w:rPr>
        <w:br w:type="page"/>
      </w: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9E56D3"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52FE38D" w:rsidR="007C4CD6" w:rsidRPr="00521401" w:rsidRDefault="00536524" w:rsidP="00521401">
            <w:pPr>
              <w:spacing w:after="0" w:line="276" w:lineRule="auto"/>
              <w:ind w:left="179"/>
            </w:pPr>
            <w:r>
              <w:t>Agua Potable, Alcantarillado y Saneamiento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5950EED8" w:rsidR="007C4CD6" w:rsidRPr="007C4CD6" w:rsidRDefault="00536524" w:rsidP="00521401">
            <w:pPr>
              <w:spacing w:after="0" w:line="276" w:lineRule="auto"/>
              <w:ind w:left="179"/>
            </w:pPr>
            <w:r>
              <w:t>APAS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2D6E58AF" w:rsidR="007C4CD6" w:rsidRPr="007C4CD6" w:rsidRDefault="00536524" w:rsidP="00521401">
            <w:pPr>
              <w:spacing w:after="0" w:line="276" w:lineRule="auto"/>
              <w:ind w:left="179"/>
            </w:pPr>
            <w:r w:rsidRPr="00536524">
              <w:t>Comisión Estatal de Agua Potable y Alcantarillado de Sinaloa</w:t>
            </w:r>
            <w:r>
              <w:t xml:space="preserve"> (CEAPAS)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D183B07" w:rsidR="005A28B9" w:rsidRPr="00A16BE7" w:rsidRDefault="00536524"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1418"/>
        <w:gridCol w:w="1984"/>
        <w:gridCol w:w="1268"/>
      </w:tblGrid>
      <w:tr w:rsidR="007C4CD6" w:rsidRPr="007C4CD6" w14:paraId="55A037F7" w14:textId="77777777" w:rsidTr="00090637">
        <w:trPr>
          <w:trHeight w:val="340"/>
        </w:trPr>
        <w:tc>
          <w:tcPr>
            <w:tcW w:w="9910" w:type="dxa"/>
            <w:gridSpan w:val="5"/>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gridSpan w:val="2"/>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gridSpan w:val="2"/>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9500D0">
        <w:trPr>
          <w:trHeight w:val="340"/>
        </w:trPr>
        <w:tc>
          <w:tcPr>
            <w:tcW w:w="3256" w:type="dxa"/>
            <w:shd w:val="clear" w:color="auto" w:fill="auto"/>
            <w:vAlign w:val="center"/>
          </w:tcPr>
          <w:p w14:paraId="06EEC80E" w14:textId="6207D990" w:rsidR="00090637" w:rsidRPr="00D913D9" w:rsidRDefault="00090637" w:rsidP="00287214">
            <w:pPr>
              <w:spacing w:after="0" w:line="276" w:lineRule="auto"/>
              <w:jc w:val="center"/>
              <w:rPr>
                <w:bCs/>
              </w:rPr>
            </w:pPr>
          </w:p>
        </w:tc>
        <w:tc>
          <w:tcPr>
            <w:tcW w:w="3402" w:type="dxa"/>
            <w:gridSpan w:val="2"/>
            <w:shd w:val="clear" w:color="auto" w:fill="auto"/>
            <w:vAlign w:val="center"/>
          </w:tcPr>
          <w:p w14:paraId="117D875F" w14:textId="01C607B7" w:rsidR="00090637" w:rsidRPr="00090637" w:rsidRDefault="009500D0" w:rsidP="00287214">
            <w:pPr>
              <w:spacing w:after="0" w:line="276" w:lineRule="auto"/>
              <w:jc w:val="center"/>
            </w:pPr>
            <w:r>
              <w:t>X</w:t>
            </w:r>
          </w:p>
        </w:tc>
        <w:tc>
          <w:tcPr>
            <w:tcW w:w="3252" w:type="dxa"/>
            <w:gridSpan w:val="2"/>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5"/>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5"/>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9500D0">
        <w:trPr>
          <w:trHeight w:val="340"/>
        </w:trPr>
        <w:tc>
          <w:tcPr>
            <w:tcW w:w="9910" w:type="dxa"/>
            <w:gridSpan w:val="5"/>
            <w:shd w:val="clear" w:color="auto" w:fill="auto"/>
          </w:tcPr>
          <w:p w14:paraId="7091B8EA" w14:textId="1A1C7CEE" w:rsidR="005065B9" w:rsidRPr="00521401" w:rsidRDefault="00BB2487" w:rsidP="005065B9">
            <w:pPr>
              <w:spacing w:after="0" w:line="276" w:lineRule="auto"/>
              <w:ind w:left="179"/>
            </w:pPr>
            <w:r>
              <w:t>Ing. Francisco Javier López Cervantes</w:t>
            </w:r>
          </w:p>
        </w:tc>
      </w:tr>
      <w:tr w:rsidR="00925C75" w:rsidRPr="00A753A2" w14:paraId="339ACE2F" w14:textId="77777777" w:rsidTr="00090637">
        <w:trPr>
          <w:trHeight w:val="340"/>
        </w:trPr>
        <w:tc>
          <w:tcPr>
            <w:tcW w:w="9910" w:type="dxa"/>
            <w:gridSpan w:val="5"/>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9500D0">
        <w:trPr>
          <w:trHeight w:val="340"/>
        </w:trPr>
        <w:tc>
          <w:tcPr>
            <w:tcW w:w="9910" w:type="dxa"/>
            <w:gridSpan w:val="5"/>
            <w:shd w:val="clear" w:color="auto" w:fill="auto"/>
          </w:tcPr>
          <w:p w14:paraId="54E4AA94" w14:textId="210B1B60" w:rsidR="00A4624B" w:rsidRPr="007301C5" w:rsidRDefault="009500D0" w:rsidP="009500D0">
            <w:pPr>
              <w:spacing w:after="0" w:line="276" w:lineRule="auto"/>
              <w:ind w:left="179"/>
            </w:pPr>
            <w:r>
              <w:t>v</w:t>
            </w:r>
            <w:r w:rsidR="00BB2487">
              <w:t>ocal</w:t>
            </w:r>
            <w:r>
              <w:t>i</w:t>
            </w:r>
            <w:r w:rsidR="00BB2487">
              <w:t>a.ceapas@hotmail.com</w:t>
            </w:r>
          </w:p>
        </w:tc>
      </w:tr>
      <w:tr w:rsidR="00A753A2" w:rsidRPr="00A753A2" w14:paraId="688D65F7" w14:textId="77777777" w:rsidTr="00090637">
        <w:trPr>
          <w:trHeight w:val="340"/>
        </w:trPr>
        <w:tc>
          <w:tcPr>
            <w:tcW w:w="9910" w:type="dxa"/>
            <w:gridSpan w:val="5"/>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9500D0">
        <w:trPr>
          <w:trHeight w:val="340"/>
        </w:trPr>
        <w:tc>
          <w:tcPr>
            <w:tcW w:w="9910" w:type="dxa"/>
            <w:gridSpan w:val="5"/>
            <w:shd w:val="clear" w:color="auto" w:fill="auto"/>
            <w:vAlign w:val="center"/>
          </w:tcPr>
          <w:p w14:paraId="138DA773" w14:textId="44B9E4CB" w:rsidR="004E1FF7" w:rsidRPr="007301C5" w:rsidRDefault="009500D0" w:rsidP="004E1FF7">
            <w:pPr>
              <w:spacing w:after="0" w:line="276" w:lineRule="auto"/>
              <w:ind w:left="179"/>
            </w:pPr>
            <w:r w:rsidRPr="00536524">
              <w:t>Comisión Estatal de Agua Potable y Alcantarillado de Sinaloa</w:t>
            </w:r>
            <w:r>
              <w:t xml:space="preserve"> (CEAPAS)</w:t>
            </w:r>
          </w:p>
        </w:tc>
      </w:tr>
      <w:tr w:rsidR="004E1FF7" w:rsidRPr="00A753A2" w14:paraId="70A117C4" w14:textId="77777777" w:rsidTr="00090637">
        <w:trPr>
          <w:trHeight w:val="340"/>
        </w:trPr>
        <w:tc>
          <w:tcPr>
            <w:tcW w:w="9910" w:type="dxa"/>
            <w:gridSpan w:val="5"/>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9500D0">
        <w:trPr>
          <w:trHeight w:val="340"/>
        </w:trPr>
        <w:tc>
          <w:tcPr>
            <w:tcW w:w="9910" w:type="dxa"/>
            <w:gridSpan w:val="5"/>
            <w:shd w:val="clear" w:color="auto" w:fill="auto"/>
          </w:tcPr>
          <w:p w14:paraId="6F19C066" w14:textId="6010DD79" w:rsidR="004E1FF7" w:rsidRPr="007301C5" w:rsidRDefault="00625E04" w:rsidP="004E1FF7">
            <w:pPr>
              <w:spacing w:after="0" w:line="276" w:lineRule="auto"/>
              <w:ind w:left="179"/>
            </w:pPr>
            <w:r>
              <w:t>66</w:t>
            </w:r>
            <w:r w:rsidR="009500D0">
              <w:t xml:space="preserve"> </w:t>
            </w:r>
            <w:r>
              <w:t>77 16</w:t>
            </w:r>
            <w:r w:rsidR="009500D0">
              <w:t xml:space="preserve"> </w:t>
            </w:r>
            <w:r>
              <w:t>32</w:t>
            </w:r>
            <w:r w:rsidR="009500D0">
              <w:t xml:space="preserve"> </w:t>
            </w:r>
            <w:r>
              <w:t>54</w:t>
            </w:r>
          </w:p>
        </w:tc>
      </w:tr>
      <w:tr w:rsidR="002C2D3A" w:rsidRPr="002C2D3A" w14:paraId="732B5D37" w14:textId="77777777" w:rsidTr="002C2D3A">
        <w:trPr>
          <w:trHeight w:val="340"/>
        </w:trPr>
        <w:tc>
          <w:tcPr>
            <w:tcW w:w="9910" w:type="dxa"/>
            <w:gridSpan w:val="5"/>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090637" w:rsidRPr="006C747D" w14:paraId="6A55E308" w14:textId="77777777" w:rsidTr="00C61D21">
        <w:trPr>
          <w:trHeight w:val="340"/>
        </w:trPr>
        <w:tc>
          <w:tcPr>
            <w:tcW w:w="9910" w:type="dxa"/>
            <w:gridSpan w:val="5"/>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gridSpan w:val="2"/>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gridSpan w:val="2"/>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4"/>
            <w:shd w:val="clear" w:color="auto" w:fill="auto"/>
            <w:vAlign w:val="center"/>
          </w:tcPr>
          <w:p w14:paraId="22D310B8" w14:textId="4E6E1DC4" w:rsidR="00A06CEF" w:rsidRPr="00866990" w:rsidRDefault="00A9408B" w:rsidP="00A06CEF">
            <w:pPr>
              <w:spacing w:after="0" w:line="276" w:lineRule="auto"/>
            </w:pPr>
            <w:r>
              <w:t>No aplica</w:t>
            </w:r>
          </w:p>
        </w:tc>
      </w:tr>
      <w:tr w:rsidR="00090637" w:rsidRPr="006C747D" w14:paraId="26415400" w14:textId="77777777" w:rsidTr="00C61D21">
        <w:trPr>
          <w:trHeight w:val="340"/>
        </w:trPr>
        <w:tc>
          <w:tcPr>
            <w:tcW w:w="9910" w:type="dxa"/>
            <w:gridSpan w:val="5"/>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5"/>
            <w:shd w:val="clear" w:color="auto" w:fill="auto"/>
            <w:vAlign w:val="center"/>
          </w:tcPr>
          <w:p w14:paraId="334040E1" w14:textId="4DB82A82" w:rsidR="00090637" w:rsidRPr="00866990" w:rsidRDefault="00A9408B" w:rsidP="00521401">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5"/>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A9408B" w14:paraId="5CBDEAA7" w14:textId="77777777" w:rsidTr="00C61D21">
        <w:trPr>
          <w:trHeight w:val="340"/>
        </w:trPr>
        <w:tc>
          <w:tcPr>
            <w:tcW w:w="9910" w:type="dxa"/>
            <w:gridSpan w:val="5"/>
            <w:shd w:val="clear" w:color="auto" w:fill="auto"/>
            <w:vAlign w:val="center"/>
          </w:tcPr>
          <w:p w14:paraId="2A2EB40C" w14:textId="677E4A64" w:rsidR="00A9408B" w:rsidRPr="00866990" w:rsidRDefault="00A9408B" w:rsidP="00A9408B">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A9408B" w:rsidRPr="00C61D21" w14:paraId="35D311F3" w14:textId="77777777" w:rsidTr="00C61D21">
        <w:trPr>
          <w:trHeight w:val="340"/>
        </w:trPr>
        <w:tc>
          <w:tcPr>
            <w:tcW w:w="9910" w:type="dxa"/>
            <w:gridSpan w:val="5"/>
            <w:shd w:val="clear" w:color="auto" w:fill="F2F2F2" w:themeFill="background1" w:themeFillShade="F2"/>
            <w:vAlign w:val="center"/>
          </w:tcPr>
          <w:p w14:paraId="7CDFEEA4" w14:textId="77777777" w:rsidR="00A9408B" w:rsidRPr="00866990" w:rsidRDefault="00A9408B" w:rsidP="00A9408B">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A9408B" w:rsidRPr="004C435E" w14:paraId="0EF2F8FE" w14:textId="77777777" w:rsidTr="004C435E">
        <w:trPr>
          <w:trHeight w:val="340"/>
        </w:trPr>
        <w:tc>
          <w:tcPr>
            <w:tcW w:w="9910" w:type="dxa"/>
            <w:gridSpan w:val="5"/>
            <w:shd w:val="clear" w:color="auto" w:fill="auto"/>
            <w:vAlign w:val="center"/>
          </w:tcPr>
          <w:p w14:paraId="7D64613A" w14:textId="118A11A0" w:rsidR="00A9408B" w:rsidRPr="00866990" w:rsidRDefault="00A9408B" w:rsidP="00A9408B">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9"/>
      <w:footerReference w:type="default" r:id="rId10"/>
      <w:headerReference w:type="first" r:id="rId11"/>
      <w:footerReference w:type="first" r:id="rId12"/>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7D5A4" w14:textId="77777777" w:rsidR="009E56D3" w:rsidRDefault="009E56D3" w:rsidP="008E5209">
      <w:pPr>
        <w:spacing w:after="0" w:line="240" w:lineRule="auto"/>
      </w:pPr>
      <w:r>
        <w:separator/>
      </w:r>
    </w:p>
  </w:endnote>
  <w:endnote w:type="continuationSeparator" w:id="0">
    <w:p w14:paraId="30839CC6" w14:textId="77777777" w:rsidR="009E56D3" w:rsidRDefault="009E56D3"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30A99D51"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500D0">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0C676E39"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500D0" w:rsidRPr="009500D0">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20F13" w14:textId="77777777" w:rsidR="009E56D3" w:rsidRDefault="009E56D3" w:rsidP="008E5209">
      <w:pPr>
        <w:spacing w:after="0" w:line="240" w:lineRule="auto"/>
      </w:pPr>
      <w:r>
        <w:separator/>
      </w:r>
    </w:p>
  </w:footnote>
  <w:footnote w:type="continuationSeparator" w:id="0">
    <w:p w14:paraId="082E31D0" w14:textId="77777777" w:rsidR="009E56D3" w:rsidRDefault="009E56D3"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643747"/>
    <w:multiLevelType w:val="hybridMultilevel"/>
    <w:tmpl w:val="1012FD58"/>
    <w:lvl w:ilvl="0" w:tplc="B5DAFA5A">
      <w:start w:val="1"/>
      <w:numFmt w:val="decimal"/>
      <w:lvlText w:val="%1."/>
      <w:lvlJc w:val="left"/>
      <w:pPr>
        <w:ind w:left="1485" w:hanging="360"/>
      </w:pPr>
      <w:rPr>
        <w:b/>
      </w:r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5"/>
  </w:num>
  <w:num w:numId="2">
    <w:abstractNumId w:val="23"/>
  </w:num>
  <w:num w:numId="3">
    <w:abstractNumId w:val="7"/>
  </w:num>
  <w:num w:numId="4">
    <w:abstractNumId w:val="21"/>
  </w:num>
  <w:num w:numId="5">
    <w:abstractNumId w:val="2"/>
    <w:lvlOverride w:ilvl="1">
      <w:lvl w:ilvl="1">
        <w:start w:val="1"/>
        <w:numFmt w:val="decimal"/>
        <w:lvlText w:val="%1.%2."/>
        <w:lvlJc w:val="left"/>
        <w:pPr>
          <w:ind w:left="792" w:hanging="432"/>
        </w:pPr>
        <w:rPr>
          <w:b/>
        </w:rPr>
      </w:lvl>
    </w:lvlOverride>
  </w:num>
  <w:num w:numId="6">
    <w:abstractNumId w:val="29"/>
  </w:num>
  <w:num w:numId="7">
    <w:abstractNumId w:val="30"/>
  </w:num>
  <w:num w:numId="8">
    <w:abstractNumId w:val="31"/>
  </w:num>
  <w:num w:numId="9">
    <w:abstractNumId w:val="22"/>
  </w:num>
  <w:num w:numId="10">
    <w:abstractNumId w:val="13"/>
  </w:num>
  <w:num w:numId="11">
    <w:abstractNumId w:val="15"/>
  </w:num>
  <w:num w:numId="12">
    <w:abstractNumId w:val="28"/>
  </w:num>
  <w:num w:numId="13">
    <w:abstractNumId w:val="27"/>
  </w:num>
  <w:num w:numId="14">
    <w:abstractNumId w:val="24"/>
  </w:num>
  <w:num w:numId="15">
    <w:abstractNumId w:val="18"/>
  </w:num>
  <w:num w:numId="16">
    <w:abstractNumId w:val="4"/>
  </w:num>
  <w:num w:numId="17">
    <w:abstractNumId w:val="6"/>
  </w:num>
  <w:num w:numId="18">
    <w:abstractNumId w:val="19"/>
  </w:num>
  <w:num w:numId="19">
    <w:abstractNumId w:val="17"/>
  </w:num>
  <w:num w:numId="20">
    <w:abstractNumId w:val="5"/>
  </w:num>
  <w:num w:numId="21">
    <w:abstractNumId w:val="3"/>
  </w:num>
  <w:num w:numId="22">
    <w:abstractNumId w:val="14"/>
  </w:num>
  <w:num w:numId="23">
    <w:abstractNumId w:val="26"/>
  </w:num>
  <w:num w:numId="24">
    <w:abstractNumId w:val="12"/>
  </w:num>
  <w:num w:numId="25">
    <w:abstractNumId w:val="20"/>
  </w:num>
  <w:num w:numId="26">
    <w:abstractNumId w:val="9"/>
  </w:num>
  <w:num w:numId="27">
    <w:abstractNumId w:val="11"/>
  </w:num>
  <w:num w:numId="28">
    <w:abstractNumId w:val="0"/>
  </w:num>
  <w:num w:numId="29">
    <w:abstractNumId w:val="10"/>
  </w:num>
  <w:num w:numId="30">
    <w:abstractNumId w:val="1"/>
  </w:num>
  <w:num w:numId="31">
    <w:abstractNumId w:val="8"/>
  </w:num>
  <w:num w:numId="3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A4F19"/>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524"/>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25E04"/>
    <w:rsid w:val="00630891"/>
    <w:rsid w:val="00634046"/>
    <w:rsid w:val="00634396"/>
    <w:rsid w:val="00647FF3"/>
    <w:rsid w:val="006505C2"/>
    <w:rsid w:val="0065144E"/>
    <w:rsid w:val="0065719B"/>
    <w:rsid w:val="0066230E"/>
    <w:rsid w:val="006635B6"/>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00D0"/>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56D3"/>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2FFC"/>
    <w:rsid w:val="00A9408B"/>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2487"/>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paragraph" w:styleId="Ttulo1">
    <w:name w:val="heading 1"/>
    <w:basedOn w:val="Normal"/>
    <w:next w:val="Normal"/>
    <w:link w:val="Ttulo1Car"/>
    <w:uiPriority w:val="9"/>
    <w:qFormat/>
    <w:rsid w:val="005365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character" w:customStyle="1" w:styleId="Ttulo1Car">
    <w:name w:val="Título 1 Car"/>
    <w:basedOn w:val="Fuentedeprrafopredeter"/>
    <w:link w:val="Ttulo1"/>
    <w:uiPriority w:val="9"/>
    <w:rsid w:val="00536524"/>
    <w:rPr>
      <w:rFonts w:asciiTheme="majorHAnsi" w:eastAsiaTheme="majorEastAsia" w:hAnsiTheme="majorHAnsi" w:cstheme="majorBidi"/>
      <w:color w:val="365F91" w:themeColor="accent1" w:themeShade="BF"/>
      <w:sz w:val="32"/>
      <w:szCs w:val="32"/>
      <w:lang w:eastAsia="en-US"/>
    </w:rPr>
  </w:style>
  <w:style w:type="paragraph" w:styleId="TtuloTDC">
    <w:name w:val="TOC Heading"/>
    <w:basedOn w:val="Ttulo1"/>
    <w:next w:val="Normal"/>
    <w:uiPriority w:val="39"/>
    <w:unhideWhenUsed/>
    <w:qFormat/>
    <w:rsid w:val="00536524"/>
    <w:pPr>
      <w:spacing w:before="480" w:line="360" w:lineRule="auto"/>
      <w:outlineLvl w:val="9"/>
    </w:pPr>
    <w:rPr>
      <w:b/>
      <w:bCs/>
      <w:smallCaps/>
      <w:color w:val="595959" w:themeColor="text1" w:themeTint="A6"/>
      <w:sz w:val="24"/>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423C-32C0-4F2E-9A50-812C0720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0</TotalTime>
  <Pages>5</Pages>
  <Words>1548</Words>
  <Characters>8520</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2</cp:revision>
  <cp:lastPrinted>2022-06-17T19:35:00Z</cp:lastPrinted>
  <dcterms:created xsi:type="dcterms:W3CDTF">2024-08-21T17:17:00Z</dcterms:created>
  <dcterms:modified xsi:type="dcterms:W3CDTF">2024-08-21T17:17:00Z</dcterms:modified>
</cp:coreProperties>
</file>